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87C" w:rsidRPr="001A087C" w:rsidRDefault="008E49C0" w:rsidP="005A07F4">
      <w:pPr>
        <w:spacing w:before="100" w:beforeAutospacing="1" w:after="100" w:afterAutospacing="1" w:line="240" w:lineRule="auto"/>
        <w:ind w:left="-720" w:right="-540"/>
        <w:outlineLvl w:val="4"/>
        <w:rPr>
          <w:rFonts w:ascii="Arial" w:eastAsia="Times New Roman" w:hAnsi="Arial" w:cs="Arial"/>
          <w:b/>
          <w:bCs/>
          <w:sz w:val="20"/>
          <w:szCs w:val="20"/>
        </w:rPr>
      </w:pPr>
      <w:r>
        <w:rPr>
          <w:rFonts w:ascii="Arial" w:eastAsia="Times New Roman" w:hAnsi="Arial" w:cs="Arial"/>
          <w:b/>
          <w:bCs/>
          <w:sz w:val="20"/>
          <w:szCs w:val="20"/>
        </w:rPr>
        <w:t xml:space="preserve">40 CFR 60 </w:t>
      </w:r>
      <w:r w:rsidR="001A087C" w:rsidRPr="001A087C">
        <w:rPr>
          <w:rFonts w:ascii="Arial" w:eastAsia="Times New Roman" w:hAnsi="Arial" w:cs="Arial"/>
          <w:b/>
          <w:bCs/>
          <w:sz w:val="20"/>
          <w:szCs w:val="20"/>
        </w:rPr>
        <w:t>Subpart Kb—Standards of Performance for Volatile Organic Liquid Storage Vessels (Including Petroleum Liquid Storage Vessels) for Which Construction, Reconstruction, or Modification Commenced After July 23, 1984</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b/>
          <w:bCs/>
          <w:sz w:val="20"/>
          <w:szCs w:val="20"/>
        </w:rPr>
        <w:t>Source:</w:t>
      </w:r>
      <w:r w:rsidRPr="001A087C">
        <w:rPr>
          <w:rFonts w:ascii="Arial" w:eastAsia="Times New Roman" w:hAnsi="Arial" w:cs="Arial"/>
          <w:sz w:val="20"/>
          <w:szCs w:val="20"/>
        </w:rPr>
        <w:t xml:space="preserve">   52 FR 11429, Apr. 8, 1987, unless otherwise noted.</w:t>
      </w:r>
      <w:r w:rsidRPr="001A087C">
        <w:rPr>
          <w:rFonts w:ascii="Arial" w:eastAsia="Times New Roman" w:hAnsi="Arial" w:cs="Arial"/>
          <w:sz w:val="18"/>
          <w:szCs w:val="18"/>
        </w:rPr>
        <w:t xml:space="preserve"> </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t>§ 60.110b   Applicability and designation of affected facility.</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Except as provided in paragraph (b) of this section, the affected facility to which this subpart applies is each storage vessel with a capacity greater than or equal to 75 cubic meters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 that is used to store volatile organic liquids (VOL) for which construction, reconstruction, or modification is commenced after July 23, 1984.</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This subpart does not apply to storage vessels with a capacity greater than or equal to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storing a liquid with a maximum true vapor pressure less than 3.5 kilopascals (kPa) or with a capacity greater than or equal to 75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but less than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storing a liquid with a maximum true vapor pressure less than 15.0 kPa.</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(c) [Reserved]</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(d) This subpart does not apply to the following: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Vessels at coke oven by-product plants.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Pressure vessels designed to operate in excess of 204.9 kPa and without emissions to the atmosphere.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Vessels permanently attached to mobile vehicles such as trucks, railcars, barges, or ships.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Vessels with a design capacity less than or equal to 1,589.874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used for petroleum or condensate stored, processed, or treated prior to custody transfer.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 Vessels located at bulk gasoline plants.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(6) Storage vessels located at gasoline service stations.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(7) Vessels used to store beverage alcohol.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(8) Vessels subject to subpart GGGG of 40 CFR part 63.</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 xml:space="preserve">(e) </w:t>
      </w:r>
      <w:r w:rsidRPr="001A087C">
        <w:rPr>
          <w:rFonts w:ascii="Arial" w:eastAsia="Times New Roman" w:hAnsi="Arial" w:cs="Arial"/>
          <w:i/>
          <w:iCs/>
          <w:sz w:val="18"/>
          <w:szCs w:val="18"/>
        </w:rPr>
        <w:t xml:space="preserve">Alternative means of compliance </w:t>
      </w:r>
      <w:r w:rsidRPr="001A087C">
        <w:rPr>
          <w:rFonts w:ascii="Arial" w:eastAsia="Times New Roman" w:hAnsi="Arial" w:cs="Arial"/>
          <w:sz w:val="18"/>
          <w:szCs w:val="18"/>
        </w:rPr>
        <w:t xml:space="preserve">—(1) </w:t>
      </w:r>
      <w:r w:rsidRPr="001A087C">
        <w:rPr>
          <w:rFonts w:ascii="Arial" w:eastAsia="Times New Roman" w:hAnsi="Arial" w:cs="Arial"/>
          <w:i/>
          <w:iCs/>
          <w:sz w:val="18"/>
          <w:szCs w:val="18"/>
        </w:rPr>
        <w:t xml:space="preserve">Option to comply with part 65. </w:t>
      </w:r>
      <w:r w:rsidRPr="001A087C">
        <w:rPr>
          <w:rFonts w:ascii="Arial" w:eastAsia="Times New Roman" w:hAnsi="Arial" w:cs="Arial"/>
          <w:sz w:val="18"/>
          <w:szCs w:val="18"/>
        </w:rPr>
        <w:t>Owners or operators may choose to comply with 40 CFR part 65, subpart C, to satisfy the requirements of §§60.112b through 60.117b for storage vessels that are subject to this subpart that meet the specifications in paragraphs (e)(1)(i) and (ii) of this section. When choosing to comply with 40 CFR part 65, subpart C, the monitoring requirements of §60.116b(c), (e), (f)(1), and (g) still apply. Other provisions applying to owners or operators who choose to comply with 40 CFR part 65 are provided in 40 CFR 65.1.</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A storage vessel with a design capacity greater than or equal to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containing a VOL that, as stored, has a maximum true vapor pressure equal to or greater than 5.2 kPa;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A storage vessel with a design capacity greater than 75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but less than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containing a VOL that, as stored, has a maximum true vapor pressure equal to or greater than 27.6 kPa.</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 xml:space="preserve">(2) </w:t>
      </w:r>
      <w:r w:rsidRPr="001A087C">
        <w:rPr>
          <w:rFonts w:ascii="Arial" w:eastAsia="Times New Roman" w:hAnsi="Arial" w:cs="Arial"/>
          <w:i/>
          <w:iCs/>
          <w:sz w:val="18"/>
          <w:szCs w:val="18"/>
        </w:rPr>
        <w:t xml:space="preserve">Part 60, subpart A. </w:t>
      </w:r>
      <w:r w:rsidRPr="001A087C">
        <w:rPr>
          <w:rFonts w:ascii="Arial" w:eastAsia="Times New Roman" w:hAnsi="Arial" w:cs="Arial"/>
          <w:sz w:val="18"/>
          <w:szCs w:val="18"/>
        </w:rPr>
        <w:t>Owners or operators who choose to comply with 40 CFR part 65, subpart C, must also comply with §§60.1, 60.2, 60.5, 60.6, 60.7(a)(1) and (4), 60.14, 60.15, and 60.16 for those storage vessels. All sections and paragraphs of subpart A of this part that are not mentioned in this paragraph (e)(2)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 xml:space="preserve">(3) </w:t>
      </w:r>
      <w:r w:rsidRPr="001A087C">
        <w:rPr>
          <w:rFonts w:ascii="Arial" w:eastAsia="Times New Roman" w:hAnsi="Arial" w:cs="Arial"/>
          <w:i/>
          <w:iCs/>
          <w:sz w:val="18"/>
          <w:szCs w:val="18"/>
        </w:rPr>
        <w:t xml:space="preserve">Internal floating roof report. </w:t>
      </w:r>
      <w:r w:rsidRPr="001A087C">
        <w:rPr>
          <w:rFonts w:ascii="Arial" w:eastAsia="Times New Roman" w:hAnsi="Arial" w:cs="Arial"/>
          <w:sz w:val="18"/>
          <w:szCs w:val="18"/>
        </w:rPr>
        <w:t>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lastRenderedPageBreak/>
        <w:t xml:space="preserve">(4) </w:t>
      </w:r>
      <w:r w:rsidRPr="001A087C">
        <w:rPr>
          <w:rFonts w:ascii="Arial" w:eastAsia="Times New Roman" w:hAnsi="Arial" w:cs="Arial"/>
          <w:i/>
          <w:iCs/>
          <w:sz w:val="18"/>
          <w:szCs w:val="18"/>
        </w:rPr>
        <w:t xml:space="preserve">External floating roof report. </w:t>
      </w:r>
      <w:r w:rsidRPr="001A087C">
        <w:rPr>
          <w:rFonts w:ascii="Arial" w:eastAsia="Times New Roman" w:hAnsi="Arial" w:cs="Arial"/>
          <w:sz w:val="18"/>
          <w:szCs w:val="18"/>
        </w:rPr>
        <w:t>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[52 FR 11429, Apr. 8, 1987, as amended at 54 FR 32973, Aug. 11, 1989; 65 FR 78275, Dec. 14, 2000; 68 FR 59332, Oct. 15, 2003]</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t>§ 60.111b   Definitions.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Terms used in this subpart are defined in the Act, in subpart A of this part, or in this subpart as follows: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Bulk gasoline plant </w:t>
      </w:r>
      <w:r w:rsidRPr="001A087C">
        <w:rPr>
          <w:rFonts w:ascii="Arial" w:eastAsia="Times New Roman" w:hAnsi="Arial" w:cs="Arial"/>
          <w:sz w:val="18"/>
          <w:szCs w:val="18"/>
        </w:rPr>
        <w:t>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Condensate </w:t>
      </w:r>
      <w:r w:rsidRPr="001A087C">
        <w:rPr>
          <w:rFonts w:ascii="Arial" w:eastAsia="Times New Roman" w:hAnsi="Arial" w:cs="Arial"/>
          <w:sz w:val="18"/>
          <w:szCs w:val="18"/>
        </w:rPr>
        <w:t>means hydrocarbon liquid separated from natural gas that condenses due to changes in the temperature or pressure, or both, and remains liquid at standard conditions.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Custody transfer </w:t>
      </w:r>
      <w:r w:rsidRPr="001A087C">
        <w:rPr>
          <w:rFonts w:ascii="Arial" w:eastAsia="Times New Roman" w:hAnsi="Arial" w:cs="Arial"/>
          <w:sz w:val="18"/>
          <w:szCs w:val="18"/>
        </w:rPr>
        <w:t>means the transfer of produced petroleum and/or condensate, after processing and/or treatment in the producing operations, from storage vessels or automatic transfer facilities to pipelines or any other forms of transportation.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Fill </w:t>
      </w:r>
      <w:r w:rsidRPr="001A087C">
        <w:rPr>
          <w:rFonts w:ascii="Arial" w:eastAsia="Times New Roman" w:hAnsi="Arial" w:cs="Arial"/>
          <w:sz w:val="18"/>
          <w:szCs w:val="18"/>
        </w:rPr>
        <w:t>means the introduction of VOL into a storage vessel but not necessarily to complete capacity.</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Gasoline service station </w:t>
      </w:r>
      <w:r w:rsidRPr="001A087C">
        <w:rPr>
          <w:rFonts w:ascii="Arial" w:eastAsia="Times New Roman" w:hAnsi="Arial" w:cs="Arial"/>
          <w:sz w:val="18"/>
          <w:szCs w:val="18"/>
        </w:rPr>
        <w:t>means any site where gasoline is dispensed to motor vehicle fuel tanks from stationary storage tanks.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Maximum true vapor pressure </w:t>
      </w:r>
      <w:r w:rsidRPr="001A087C">
        <w:rPr>
          <w:rFonts w:ascii="Arial" w:eastAsia="Times New Roman" w:hAnsi="Arial" w:cs="Arial"/>
          <w:sz w:val="18"/>
          <w:szCs w:val="18"/>
        </w:rPr>
        <w:t>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In accordance with methods described in American Petroleum institute Bulletin 2517, Evaporation Loss From External Floating Roof Tanks, (incorporated by reference—see §60.17);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As obtained from standard reference texts;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As determined by ASTM D2879–83, 96, or 97 (incorporated by reference—see §60.17);</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Any other method approved by the Administrator.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Petroleum </w:t>
      </w:r>
      <w:r w:rsidRPr="001A087C">
        <w:rPr>
          <w:rFonts w:ascii="Arial" w:eastAsia="Times New Roman" w:hAnsi="Arial" w:cs="Arial"/>
          <w:sz w:val="18"/>
          <w:szCs w:val="18"/>
        </w:rPr>
        <w:t>means the crude oil removed from the earth and the oils derived from tar sands, shale, and coal.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Petroleum liquids </w:t>
      </w:r>
      <w:r w:rsidRPr="001A087C">
        <w:rPr>
          <w:rFonts w:ascii="Arial" w:eastAsia="Times New Roman" w:hAnsi="Arial" w:cs="Arial"/>
          <w:sz w:val="18"/>
          <w:szCs w:val="18"/>
        </w:rPr>
        <w:t>means petroleum, condensate, and any finished or intermediate products manufactured in a petroleum refinery.</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Process tank </w:t>
      </w:r>
      <w:r w:rsidRPr="001A087C">
        <w:rPr>
          <w:rFonts w:ascii="Arial" w:eastAsia="Times New Roman" w:hAnsi="Arial" w:cs="Arial"/>
          <w:sz w:val="18"/>
          <w:szCs w:val="18"/>
        </w:rPr>
        <w:t>means a tank that is used within a process (including a solvent or raw material recovery process) to collect material discharged from a feedstock storage vessel or equipment within the process before the material is transferred to other equipment within the process, to a product or by-product storage vessel, or to a vessel used to store recovered solvent or raw material. In many process tanks, unit operations such as reactions and blending are conducted. Other process tanks, such as surge control vessels and bottoms receivers, however, may not involve unit operations.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Reid vapor pressure </w:t>
      </w:r>
      <w:r w:rsidRPr="001A087C">
        <w:rPr>
          <w:rFonts w:ascii="Arial" w:eastAsia="Times New Roman" w:hAnsi="Arial" w:cs="Arial"/>
          <w:sz w:val="18"/>
          <w:szCs w:val="18"/>
        </w:rPr>
        <w:t>means the absolute vapor pressure of volatile crude oil and volatile nonviscous petroleum liquids except liquified petroleum gases, as determined by ASTM D323–82 or 94 (incorporated by reference—see §60.17).</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Storage vessel </w:t>
      </w:r>
      <w:r w:rsidRPr="001A087C">
        <w:rPr>
          <w:rFonts w:ascii="Arial" w:eastAsia="Times New Roman" w:hAnsi="Arial" w:cs="Arial"/>
          <w:sz w:val="18"/>
          <w:szCs w:val="18"/>
        </w:rPr>
        <w:t>means each tank, reservoir, or container used for the storage of volatile organic liquids but does not include: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Frames, housing, auxiliary supports, or other components that are not directly involved in the containment of liquids or vapors;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Subsurface caverns or porous rock reservoirs;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Process tanks.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lastRenderedPageBreak/>
        <w:t xml:space="preserve">Volatile organic liquid (VOL) </w:t>
      </w:r>
      <w:r w:rsidRPr="001A087C">
        <w:rPr>
          <w:rFonts w:ascii="Arial" w:eastAsia="Times New Roman" w:hAnsi="Arial" w:cs="Arial"/>
          <w:sz w:val="18"/>
          <w:szCs w:val="18"/>
        </w:rPr>
        <w:t>means any organic liquid which can emit volatile organic compounds (as defined in 40 CFR 51.100) into the atmosphere.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i/>
          <w:iCs/>
          <w:sz w:val="18"/>
          <w:szCs w:val="18"/>
        </w:rPr>
        <w:t xml:space="preserve">Waste </w:t>
      </w:r>
      <w:r w:rsidRPr="001A087C">
        <w:rPr>
          <w:rFonts w:ascii="Arial" w:eastAsia="Times New Roman" w:hAnsi="Arial" w:cs="Arial"/>
          <w:sz w:val="18"/>
          <w:szCs w:val="18"/>
        </w:rPr>
        <w:t>means any liquid resulting from industrial, commercial, mining or agricultural operations, or from community activities that is discarded or is being accumulated, stored, or physically, chemically, or biologically treated prior to being discarded or recycled.</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[52 FR 11429, Apr. 8, 1987, as amended at 54 FR 32973, Aug. 11, 1989; 65 FR 61756, Oct. 17, 2000; 68 FR 59333, Oct. 15, 2003]</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t>§ 60.112b   Standard for volatile organic compounds (VOC).</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The owner or operator of each storage vessel either with a design capacity greater than or equal to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containing a VOL that, as stored, has a maximum true vapor pressure equal to or greater than 5.2 kPa but less than 76.6 kPa or with a design capacity greater than or equal to 75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but less than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containing a VOL that, as stored, has a maximum true vapor pressure equal to or greater than 27.6 kPa but less than 76.6 kPa, shall equip each storage vessel with one of the following: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A fixed roof in combination with an internal floating roof meeting the following specifications: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Each internal floating roof shall be equipped with one of the following closure devices between the wall of the storage vessel and the edge of the internal floating roof:</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Two seals mounted one above the other so that each forms a continuous closure that completely covers the space between the wall of the storage vessel and the edge of the internal floating roof. The lower seal may be vapor-mounted, but both must be continuous.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(C) 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Each opening in a noncontact internal floating roof except for automatic bleeder vents (vacuum breaker vents) and the rim space vents is to provide a projection below the liquid surface.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(iv) 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(v) Automatic bleeder vents shall be equipped with a gasket and are to be closed at all times when the roof is floating except when the roof is being floated off or is being landed on the roof leg supports.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(vi) Rim space vents shall be equipped with a gasket and are to be set to open only when the internal floating roof is not floating or at the manufacturer's recommended setting.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(vii) Each penetration of the internal floating roof for the purpose of sampling shall be a sample well. The sample well shall have a slit fabric cover that covers at least 90 percent of the opening.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(viii) Each penetration of the internal floating roof that allows for passage of a column supporting the fixed roof shall have a flexible fabric sleeve seal or a gasketed sliding cover.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(ix) Each penetration of the internal floating roof that allows for passage of a ladder shall have a gasketed sliding cover.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lastRenderedPageBreak/>
        <w:t>(2) An external floating roof. An external floating roof means a pontoon-type or double-deck type cover that rests on the liquid surface in a vessel with no fixed roof. Each external floating roof must meet the following specifications: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Each external floating roof shall be equipped with a closure device between the wall of the storage vessel and the roof edge. The closure device is to consist of two seals, one above the other. The lower seal is referred to as the primary seal, and the upper seal is referred to as the secondary seal.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The primary seal shall be either a mechanical shoe seal or a liquid-mounted seal. Except as provided in §60.113b(b)(4), the seal shall completely cover the annular space between the edge of the floating roof and tank wall.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The secondary seal shall completely cover the annular space between the external floating roof and the wall of the storage vessel in a continuous fashion except as allowed in §60.113b(b)(4).</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gasketed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gasketed. Each emergency roof drain is to be provided with a slotted membrane fabric cover that covers at least 90 percent of the area of the opening.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 shall be continuous and shall be accomplished as rapidly as possible.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A closed vent system and control device meeting the following specifications: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The closed vent system shall be designed to collect all VOC vapors and gases discharged from the storage vessel and operated with no detectable emissions as indicated by an instrument reading of less than 500 ppm above background and visual inspections, as determined in part 60, subpart VV, §60.485(b).</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The control device shall be designed and operated to reduce inlet VOC emissions by 95 percent or greater. If a flare is used as the control device, it shall meet the specifications described in the general control device requirements (§60.18) of the General Provisions.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A system equivalent to those described in paragraphs (a)(1), (a)(2), or (a)(3) of this section as provided in §60.114b of this subpart.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The owner or operator of each storage vessel with a design capacity greater than or equal to 75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which contains a VOL that, as stored, has a maximum true vapor pressure greater than or equal to 76.6 kPa shall equip each storage vessel with one of the following: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A closed vent system and control device as specified in §60.112b(a)(3).</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A system equivalent to that described in paragraph (b)(1) as provided in §60.114b of this subpart.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 xml:space="preserve">(c) </w:t>
      </w:r>
      <w:r w:rsidRPr="001A087C">
        <w:rPr>
          <w:rFonts w:ascii="Arial" w:eastAsia="Times New Roman" w:hAnsi="Arial" w:cs="Arial"/>
          <w:i/>
          <w:iCs/>
          <w:sz w:val="18"/>
          <w:szCs w:val="18"/>
        </w:rPr>
        <w:t xml:space="preserve">Site-specific standard for Merck &amp; Co., Inc.'s Stonewall Plant in Elkton, Virginia. </w:t>
      </w:r>
      <w:r w:rsidRPr="001A087C">
        <w:rPr>
          <w:rFonts w:ascii="Arial" w:eastAsia="Times New Roman" w:hAnsi="Arial" w:cs="Arial"/>
          <w:sz w:val="18"/>
          <w:szCs w:val="18"/>
        </w:rPr>
        <w:t>This paragraph applies only to the pharmaceutical manufacturing facility, commonly referred to as the Stonewall Plant, located at Route 340 South, in Elkton, Virginia (“site”).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 chooses the option of reducing the total emissions cap in accordance with the procedures set forth in such permit, the requirements of such permit shall apply in lieu of the otherwise applicable requirements of this subpart for such storage vessel.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For any storage vessel at the site not subject to the requirements of 40 CFR 60.112b (a) or (b), the requirements of 40 CFR 60.116b (b) and (c) and the General Provisions (subpart A of this part) shall not apply.</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[52 FR 11429, Apr. 8, 1987, as amended at 62 FR 52641, Oct. 8, 1997]</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lastRenderedPageBreak/>
        <w:t>§ 60.113b   Testing and procedures.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The owner or operator of each storage vessel as specified in §60.112b(a) shall meet the requirements of paragraph (a), (b), or (c) of this section. The applicable paragraph for a particular storage vessel depends on the control equipment installed to meet the requirements of §60.112b.</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After installing the control equipment required to meet §60.112b(a)(1) (permanently affixed roof and internal floating roof), each owner or operator shall: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For vessels equipped with a double-seal system as specified in §60.112b(a)(1)(ii)(B):</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Visually inspect the vessel as specified in paragraph (a)(4) of this section at least every 5 years;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Visually inspect the vessel as specified in paragraph (a)(2)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After installing the control equipment required to meet §60.112b(a)(2) (external floating roof), the owner or operator shall: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Determine the gap areas and maximum gap widths, between the primary seal and the wall of the storage vessel and between the secondary seal and the wall of the storage vessel according to the following frequency.</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Measurements of gaps between the tank wall and the primary seal (seal gaps) shall be performed during the hydrostatic testing of the vessel or within 60 days of the initial fill with VOL and at least once every 5 years thereafter.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Measurements of gaps between the tank wall and the secondary seal shall be performed within 60 days of the initial fill with VOL and at least once per year thereafter.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If any source ceases to store VOL for a period of 1 year or more, subsequent introduction of VOL into the vessel shall be considered an initial fill for the purposes of paragraphs (b)(1)(i) and (b)(1)(ii)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lastRenderedPageBreak/>
        <w:t>(2) Determine gap widths and areas in the primary and secondary seals individually by the following procedures: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Measure seal gaps, if any, at one or more floating roof levels when the roof is floating off the roof leg supports.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Make necessary repairs or empty the storage vessel within 45 days of identification in any inspection for seals not meeting the requirements listed in (b)(4) (i) and (ii)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The accumulated area of gaps between the tank wall and the mechanical shoe or liquid-mounted primary seal shall not exceed 212 Cm</w:t>
      </w:r>
      <w:r w:rsidRPr="001A087C">
        <w:rPr>
          <w:rFonts w:ascii="Arial" w:eastAsia="Times New Roman" w:hAnsi="Arial" w:cs="Arial"/>
          <w:sz w:val="18"/>
          <w:szCs w:val="18"/>
          <w:vertAlign w:val="superscript"/>
        </w:rPr>
        <w:t>2</w:t>
      </w:r>
      <w:r w:rsidRPr="001A087C">
        <w:rPr>
          <w:rFonts w:ascii="Arial" w:eastAsia="Times New Roman" w:hAnsi="Arial" w:cs="Arial"/>
          <w:sz w:val="18"/>
          <w:szCs w:val="18"/>
        </w:rPr>
        <w:t xml:space="preserve"> per meter of tank diameter, and the width of any portion of any gap shall not exceed 3.81 cm.</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One end of the mechanical shoe is to extend into the stored liquid, and the other end is to extend a minimum vertical distance of 61 cm above the stored liquid surface.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There are to be no holes, tears, or other openings in the shoe, seal fabric, or seal envelope.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The secondary seal is to meet the following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The secondary seal is to be installed above the primary seal so that it completely covers the space between the roof edge and the tank wall except as provided in paragraph (b)(2)(iii)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The accumulated area of gaps between the tank wall and the secondary seal shall not exceed 21.2 cm</w:t>
      </w:r>
      <w:r w:rsidRPr="001A087C">
        <w:rPr>
          <w:rFonts w:ascii="Arial" w:eastAsia="Times New Roman" w:hAnsi="Arial" w:cs="Arial"/>
          <w:sz w:val="18"/>
          <w:szCs w:val="18"/>
          <w:vertAlign w:val="superscript"/>
        </w:rPr>
        <w:t>2</w:t>
      </w:r>
      <w:r w:rsidRPr="001A087C">
        <w:rPr>
          <w:rFonts w:ascii="Arial" w:eastAsia="Times New Roman" w:hAnsi="Arial" w:cs="Arial"/>
          <w:sz w:val="18"/>
          <w:szCs w:val="18"/>
        </w:rPr>
        <w:t xml:space="preserve"> per meter of tank diameter, and the width of any portion of any gap shall not exceed 1.27 cm.</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(C) There are to be no holes, tears, or other openings in the seal or seal fabric.</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 Notify the Administrator 30 days in advance of any gap measurements required by paragraph (b)(1) of this section to afford the Administrator the opportunity to have an observer present.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(6) Visually inspect the external floating roof, the primary seal, secondary seal, and fittings each time the vessel is emptied and degassed.</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lastRenderedPageBreak/>
        <w:t>(c) The owner or operator of each source that is equipped with a closed vent system and control device as required in §60.112b (a)(3) or (b)(2) (other than a flare) is exempt from §60.8 of the General Provisions and shall meet the following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Submit for approval by the Administrator as an attachment to the notification required by §60.7(a)(1) or, if the facility is exempt from §60.7(a)(1), as an attachment to the notification required by §60.7(a)(2), an operating plan containing the information listed below.</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A description of the parameter or parameters to be monitored to ensure that the control device will be operated in conformance with its design and an explanation of the criteria used for selection of that parameter (or parameters).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(d) The owner or operator of each source that is equipped with a closed vent system and a flare to meet the requirements in §60.112b (a)(3) or (b)(2) shall meet the requirements as specified in the general control device requirements, §60.18 (e) and (f).</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[52 FR 11429, Apr. 8, 1987, as amended at 54 FR 32973, Aug. 11, 1989]</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t>§ 60.114b   Alternative means of emission limitation.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If, in the Administrator's judgment, an alternative means of emission limitation will achieve a reduction in emissions at least equivalent to the reduction in emissions achieved by any requirement in §60.112b, the Administrator will publish in theFederal Registera notice permitting the use of the alternative means for purposes of compliance with that requirement.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Any notice under paragraph (a) of this section will be published only after notice and an opportunity for a hearing.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(c) Any person seeking permission under this section shall submit to the Administrator a written application including: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An engineering evaluation that the Administrator determines is an accurate method of determining equivalence.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(d) The Administrator may condition the permission on requirements that may be necessary to ensure operation and maintenance to achieve the same emissions reduction as specified in §60.112b.</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t>§ 60.115b   Reporting and recordkeeping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After installing control equipment in accordance with §60.112b(a)(1) (fixed roof and internal floating roof), the owner or operator shall meet the following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Furnish the Administrator with a report that describes the control equipment and certifies that the control equipment meets the specifications of §60.112b(a)(1) and §60.113b(a)(1). This report shall be an attachment to the notification required by §60.7(a)(3).</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lastRenderedPageBreak/>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If any of the conditions described in §60.113b(a)(2)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After installing control equipment in accordance with §61.112b(a)(2) (external floating roof), the owner or operator shall meet the following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Furnish the Administrator with a report that describes the control equipment and certifies that the control equipment meets the specifications of §60.112b(a)(2) and §60.113b(b)(2), (b)(3), and (b)(4). This report shall be an attachment to the notification required by §60.7(a)(3).</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Within 60 days of performing the seal gap measurements required by §60.113b(b)(1), furnish the Administrator with a report that contains: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The date of measurement.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The raw data obtained in the measurement.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The calculations described in §60.113b (b)(2) and (b)(3).</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Keep a record of each gap measurement performed as required by §60.113b(b). Each record shall identify the storage vessel in which the measurement was performed and shall contain: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The date of measurement.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The raw data obtained in the measurement.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The calculations described in §60.113b (b)(2) and (b)(3).</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(c) After installing control equipment in accordance with §60.112b (a)(3) or (b)(1) (closed vent system and control device other than a flare), the owner or operator shall keep the following records.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A copy of the operating plan.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A record of the measured values of the parameters monitored in accordance with §60.113b(c)(2).</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(d) After installing a closed vent system and flare to comply with §60.112b, the owner or operator shall meet the following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A report containing the measurements required by §60.18(f) (1), (2), (3), (4), (5), and (6) shall be furnished to the Administrator as required by §60.8 of the General Provisions. This report shall be submitted within 6 months of the initial start-up date.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Records shall be kept of all periods of operation during which the flare pilot flame is absent.</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Semiannual reports of all periods recorded under §60.115b(d)(2) in which the pilot flame was absent shall be furnished to the Administrator.</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lastRenderedPageBreak/>
        <w:t>§ 60.116b   Monitoring of operations.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The owner or operator shall keep copies of all records required by this section, except for the record required by paragraph (b) of this section, for at least 2 years. The record required by paragraph (b) of this section will be kept for the life of the source.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The owner or operator of each storage vessel as specified in §60.110b(a) shall keep readily accessible records showing the dimension of the storage vessel and an analysis showing the capacity of the storage vessel.</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(c) Except as provided in paragraphs (f) and (g) of this section, the owner or operator of each storage vessel either with a design capacity greater than or equal to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storing a liquid with a maximum true vapor pressure greater than or equal to 3.5 kPa or with a design capacity greater than or equal to 75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but less than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storing a liquid with a maximum true vapor pressure greater than or equal to 15.0 kPa shall maintain a record of the VOL stored, the period of storage, and the maximum true vapor pressure of that VOL during the respective storage period.</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(d) Except as provided in paragraph (g) of this section, the owner or operator of each storage vessel either with a design capacity greater than or equal to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storing a liquid with a maximum true vapor pressure that is normally less than 5.2 kPa or with a design capacity greater than or equal to 75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but less than 151 m</w:t>
      </w:r>
      <w:r w:rsidRPr="001A087C">
        <w:rPr>
          <w:rFonts w:ascii="Arial" w:eastAsia="Times New Roman" w:hAnsi="Arial" w:cs="Arial"/>
          <w:sz w:val="18"/>
          <w:szCs w:val="18"/>
          <w:vertAlign w:val="superscript"/>
        </w:rPr>
        <w:t>3</w:t>
      </w:r>
      <w:r w:rsidRPr="001A087C">
        <w:rPr>
          <w:rFonts w:ascii="Arial" w:eastAsia="Times New Roman" w:hAnsi="Arial" w:cs="Arial"/>
          <w:sz w:val="18"/>
          <w:szCs w:val="18"/>
        </w:rPr>
        <w:t xml:space="preserve"> storing a liquid with a maximum true vapor pressure that is normally less than 27.6 kPa shall notify the Administrator within 30 days when the maximum true vapor pressure of the liquid exceeds the respective maximum true vapor vapor pressure values for each volume range.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(e) Available data on the storage temperature may be used to determine the maximum true vapor pressure as determined below.</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For crude oil or refined petroleum products the vapor pressure may be obtained by the following:</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reference—see §60.17), unless the Administrator specifically requests that the liquid be sampled, the actual storage temperature determined, and the Reid vapor pressure determined from the sample(s).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(3) For other liquids, the vapor pressure: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May be obtained from standard reference texts,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 Determined by ASTM D2879–83, 96, or 97 (incorporated by reference—see §60.17);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Measured by an appropriate method approved by the Administrator;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(iv) Calculated by an appropriate method approved by the Administrator.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(f) The owner or operator of each vessel storing a waste mixture of indeterminate or variable composition shall be subject to the following requirements.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(1) Prior to the initial filling of the vessel, the highest maximum true vapor pressure for the range of anticipated liquid compositions to be stored will be determined using the methods described in paragraph (e)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(2) For vessels in which the vapor pressure of the anticipated liquid composition is above the cutoff for monitoring but below the cutoff for controls as defined in §60.112b(a), an initial physical test of the vapor pressure is required; and a physical test at least once every 6 months thereafter is required as determined by the following methods:</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 ASTM D2879–83, 96, or 97 (incorporated by reference—see §60.17);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lastRenderedPageBreak/>
        <w:t>(ii) ASTM D323–82 or 94 (incorporated by reference—see §60.17); 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(iii) As measured by an appropriate method as approved by the Administrator.</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(g) The owner or operator of each vessel equipped with a closed vent system and control device meeting the specification of §60.112b or with emissions reductions equipment as specified in 40 CFR 65.42(b)(4), (b)(5), (b)(6), or (c) is exempt from the requirements of paragraphs (c) and (d) of this section.</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[52 FR 11429, Apr. 8, 1987, as amended at 65 FR 61756, Oct. 17, 2000; 65 FR 78276, Dec. 14, 2000; 68 FR 59333, Oct. 15, 2003]</w:t>
      </w:r>
    </w:p>
    <w:p w:rsidR="001A087C" w:rsidRPr="001A087C" w:rsidRDefault="001A087C" w:rsidP="005A07F4">
      <w:pPr>
        <w:spacing w:before="100" w:beforeAutospacing="1" w:after="100" w:afterAutospacing="1" w:line="240" w:lineRule="auto"/>
        <w:ind w:left="-720" w:right="-540"/>
        <w:outlineLvl w:val="4"/>
        <w:rPr>
          <w:rFonts w:ascii="Arial" w:eastAsia="Times New Roman" w:hAnsi="Arial" w:cs="Arial"/>
          <w:b/>
          <w:bCs/>
          <w:sz w:val="20"/>
          <w:szCs w:val="20"/>
        </w:rPr>
      </w:pPr>
      <w:r w:rsidRPr="001A087C">
        <w:rPr>
          <w:rFonts w:ascii="Arial" w:eastAsia="Times New Roman" w:hAnsi="Arial" w:cs="Arial"/>
          <w:b/>
          <w:bCs/>
          <w:sz w:val="20"/>
          <w:szCs w:val="20"/>
        </w:rPr>
        <w:t>§ 60.117b   Delegation of authority.</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(a) In delegating implementation and enforcement authority to a State under section 111(c) of the Act, the authorities contained in paragraph (b) of this section shall be retained by the Administrator and not transferred to a State.</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(b) Authorities which will not be delegated to States: §§60.111b(f)(4), 60.114b, 60.116b(e)(3)(iii), 60.116b(e)(3)(iv), and 60.116b(f)(2)(iii).</w:t>
      </w:r>
    </w:p>
    <w:p w:rsidR="001A087C" w:rsidRPr="001A087C" w:rsidRDefault="001A087C" w:rsidP="005A07F4">
      <w:pPr>
        <w:spacing w:before="100" w:beforeAutospacing="1" w:after="100" w:afterAutospacing="1" w:line="240" w:lineRule="auto"/>
        <w:ind w:left="-720" w:right="-540"/>
        <w:rPr>
          <w:rFonts w:ascii="Arial" w:eastAsia="Times New Roman" w:hAnsi="Arial" w:cs="Arial"/>
          <w:sz w:val="18"/>
          <w:szCs w:val="18"/>
        </w:rPr>
      </w:pPr>
      <w:r w:rsidRPr="001A087C">
        <w:rPr>
          <w:rFonts w:ascii="Arial" w:eastAsia="Times New Roman" w:hAnsi="Arial" w:cs="Arial"/>
          <w:sz w:val="18"/>
          <w:szCs w:val="18"/>
        </w:rPr>
        <w:t>[52 FR 11429, Apr. 8, 1987, as amended at 52 FR 22780, June 16, 1987]</w:t>
      </w:r>
    </w:p>
    <w:p w:rsidR="00C07E2C" w:rsidRDefault="00C07E2C" w:rsidP="005A07F4">
      <w:pPr>
        <w:spacing w:after="0"/>
        <w:ind w:left="-720" w:right="-540"/>
      </w:pPr>
    </w:p>
    <w:sectPr w:rsidR="00C07E2C" w:rsidSect="005A07F4">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1A087C"/>
    <w:rsid w:val="001A087C"/>
    <w:rsid w:val="0028249B"/>
    <w:rsid w:val="004F13A7"/>
    <w:rsid w:val="00512370"/>
    <w:rsid w:val="005A07F4"/>
    <w:rsid w:val="006A3ABC"/>
    <w:rsid w:val="008B22C8"/>
    <w:rsid w:val="008D0E25"/>
    <w:rsid w:val="008E0772"/>
    <w:rsid w:val="008E49C0"/>
    <w:rsid w:val="00A31530"/>
    <w:rsid w:val="00A54E66"/>
    <w:rsid w:val="00A86494"/>
    <w:rsid w:val="00AF36EA"/>
    <w:rsid w:val="00C07E2C"/>
    <w:rsid w:val="00C21E43"/>
    <w:rsid w:val="00CB0AC9"/>
    <w:rsid w:val="00D373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1A087C"/>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A087C"/>
    <w:rPr>
      <w:rFonts w:eastAsia="Times New Roman"/>
      <w:b/>
      <w:bCs/>
      <w:sz w:val="20"/>
      <w:szCs w:val="20"/>
    </w:rPr>
  </w:style>
  <w:style w:type="paragraph" w:styleId="NormalWeb">
    <w:name w:val="Normal (Web)"/>
    <w:basedOn w:val="Normal"/>
    <w:uiPriority w:val="99"/>
    <w:semiHidden/>
    <w:unhideWhenUsed/>
    <w:rsid w:val="001A087C"/>
    <w:pPr>
      <w:spacing w:before="100" w:beforeAutospacing="1" w:after="100" w:afterAutospacing="1" w:line="240" w:lineRule="auto"/>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5991</Words>
  <Characters>34153</Characters>
  <Application>Microsoft Office Word</Application>
  <DocSecurity>0</DocSecurity>
  <Lines>284</Lines>
  <Paragraphs>80</Paragraphs>
  <ScaleCrop>false</ScaleCrop>
  <Company/>
  <LinksUpToDate>false</LinksUpToDate>
  <CharactersWithSpaces>40064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2012-04-25T15:14:00Z</cp:lastPrinted>
  <dcterms:created xsi:type="dcterms:W3CDTF">2012-04-25T15:14:00Z</dcterms:created>
  <dcterms:modified xsi:type="dcterms:W3CDTF">2012-04-25T15:14:00Z</dcterms:modified>
</cp:coreProperties>
</file>